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4C7" w:rsidRDefault="00C474C7">
      <w:pPr>
        <w:widowControl w:val="0"/>
        <w:pBdr>
          <w:top w:val="nil"/>
          <w:left w:val="nil"/>
          <w:bottom w:val="nil"/>
          <w:right w:val="nil"/>
          <w:between w:val="nil"/>
        </w:pBdr>
        <w:spacing w:after="0"/>
      </w:pPr>
    </w:p>
    <w:p w:rsidR="00C474C7" w:rsidRDefault="00D839C7">
      <w:pPr>
        <w:rPr>
          <w:rFonts w:ascii="Arial" w:eastAsia="Arial" w:hAnsi="Arial" w:cs="Arial"/>
          <w:b/>
          <w:sz w:val="36"/>
          <w:szCs w:val="36"/>
        </w:rPr>
      </w:pPr>
      <w:r>
        <w:rPr>
          <w:rFonts w:ascii="Arial" w:eastAsia="Arial" w:hAnsi="Arial" w:cs="Arial"/>
          <w:b/>
          <w:sz w:val="36"/>
          <w:szCs w:val="36"/>
        </w:rPr>
        <w:t>Framework Schedule 3 (Framework Prices)</w:t>
      </w:r>
    </w:p>
    <w:p w:rsidR="00C474C7" w:rsidRDefault="00D839C7">
      <w:pPr>
        <w:numPr>
          <w:ilvl w:val="0"/>
          <w:numId w:val="1"/>
        </w:numPr>
        <w:pBdr>
          <w:top w:val="nil"/>
          <w:left w:val="nil"/>
          <w:bottom w:val="nil"/>
          <w:right w:val="nil"/>
          <w:between w:val="nil"/>
        </w:pBdr>
        <w:tabs>
          <w:tab w:val="left" w:pos="142"/>
        </w:tabs>
        <w:spacing w:before="120" w:after="240" w:line="240" w:lineRule="auto"/>
        <w:ind w:hanging="360"/>
        <w:jc w:val="both"/>
        <w:rPr>
          <w:rFonts w:ascii="Arial" w:eastAsia="Arial" w:hAnsi="Arial" w:cs="Arial"/>
          <w:sz w:val="24"/>
          <w:szCs w:val="24"/>
        </w:rPr>
      </w:pPr>
      <w:bookmarkStart w:id="0" w:name="_heading=h.gjdgxs" w:colFirst="0" w:colLast="0"/>
      <w:bookmarkEnd w:id="0"/>
      <w:r>
        <w:rPr>
          <w:rFonts w:ascii="Arial" w:eastAsia="Arial" w:hAnsi="Arial" w:cs="Arial"/>
          <w:b/>
          <w:color w:val="000000"/>
          <w:sz w:val="24"/>
          <w:szCs w:val="24"/>
        </w:rPr>
        <w:t>How Framework Prices are used to calculate Call-Off Charges</w:t>
      </w:r>
    </w:p>
    <w:p w:rsidR="00C474C7" w:rsidRDefault="00D839C7">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C474C7" w:rsidRDefault="00D839C7">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rsidR="00C474C7" w:rsidRDefault="00D839C7">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w:t>
      </w:r>
      <w:r>
        <w:rPr>
          <w:rFonts w:ascii="Arial" w:eastAsia="Arial" w:hAnsi="Arial" w:cs="Arial"/>
          <w:color w:val="000000"/>
          <w:sz w:val="24"/>
          <w:szCs w:val="24"/>
        </w:rPr>
        <w:t>ally permitted by the Call Off Contract and in particular shall only be subject to Indexation where specifically stated in the Order Form; and</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not be impacted by any change to the Framework Prices. </w:t>
      </w:r>
    </w:p>
    <w:p w:rsidR="00C474C7" w:rsidRDefault="00D839C7">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rsidR="00C474C7" w:rsidRDefault="00D839C7">
      <w:pPr>
        <w:numPr>
          <w:ilvl w:val="0"/>
          <w:numId w:val="1"/>
        </w:numPr>
        <w:pBdr>
          <w:top w:val="nil"/>
          <w:left w:val="nil"/>
          <w:bottom w:val="nil"/>
          <w:right w:val="nil"/>
          <w:between w:val="nil"/>
        </w:pBdr>
        <w:tabs>
          <w:tab w:val="left" w:pos="142"/>
        </w:tabs>
        <w:spacing w:before="120" w:after="240" w:line="240" w:lineRule="auto"/>
        <w:ind w:hanging="360"/>
        <w:jc w:val="both"/>
        <w:rPr>
          <w:rFonts w:ascii="Arial" w:eastAsia="Arial" w:hAnsi="Arial" w:cs="Arial"/>
          <w:sz w:val="24"/>
          <w:szCs w:val="24"/>
        </w:rPr>
      </w:pPr>
      <w:r>
        <w:rPr>
          <w:rFonts w:ascii="Arial" w:eastAsia="Arial" w:hAnsi="Arial" w:cs="Arial"/>
          <w:b/>
          <w:color w:val="000000"/>
          <w:sz w:val="24"/>
          <w:szCs w:val="24"/>
        </w:rPr>
        <w:t>How Frame</w:t>
      </w:r>
      <w:r>
        <w:rPr>
          <w:rFonts w:ascii="Arial" w:eastAsia="Arial" w:hAnsi="Arial" w:cs="Arial"/>
          <w:b/>
          <w:color w:val="000000"/>
          <w:sz w:val="24"/>
          <w:szCs w:val="24"/>
        </w:rPr>
        <w:t>work Prices are calculated</w:t>
      </w:r>
    </w:p>
    <w:p w:rsidR="00C474C7" w:rsidRDefault="00D839C7">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C474C7" w:rsidRDefault="00D839C7">
      <w:pPr>
        <w:numPr>
          <w:ilvl w:val="0"/>
          <w:numId w:val="1"/>
        </w:numPr>
        <w:pBdr>
          <w:top w:val="nil"/>
          <w:left w:val="nil"/>
          <w:bottom w:val="nil"/>
          <w:right w:val="nil"/>
          <w:between w:val="nil"/>
        </w:pBdr>
        <w:tabs>
          <w:tab w:val="left" w:pos="142"/>
        </w:tabs>
        <w:spacing w:before="120" w:after="240" w:line="240" w:lineRule="auto"/>
        <w:ind w:hanging="360"/>
        <w:jc w:val="both"/>
        <w:rPr>
          <w:rFonts w:ascii="Arial" w:eastAsia="Arial" w:hAnsi="Arial" w:cs="Arial"/>
          <w:sz w:val="24"/>
          <w:szCs w:val="24"/>
        </w:rPr>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Are costs and expenses are included in the Framework Prices</w:t>
      </w:r>
    </w:p>
    <w:p w:rsidR="00C474C7" w:rsidRDefault="00D839C7">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Except as expressly set out in </w:t>
      </w:r>
      <w:r>
        <w:rPr>
          <w:rFonts w:ascii="Arial" w:eastAsia="Arial" w:hAnsi="Arial" w:cs="Arial"/>
          <w:color w:val="000000"/>
          <w:sz w:val="24"/>
          <w:szCs w:val="24"/>
        </w:rPr>
        <w:t>Paragraph 4 below, or otherwise stated in a Call Off Order Form the Framework Prices shall include all costs and expenses relating to the provision of Deliverables. No further amounts shall be payable in respect of matters such as:</w:t>
      </w:r>
    </w:p>
    <w:p w:rsidR="00C474C7" w:rsidRDefault="00D839C7">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rsidR="00C474C7" w:rsidRDefault="00D839C7">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w:t>
      </w:r>
      <w:r>
        <w:rPr>
          <w:rFonts w:ascii="Arial" w:eastAsia="Arial" w:hAnsi="Arial" w:cs="Arial"/>
          <w:color w:val="000000"/>
          <w:sz w:val="24"/>
          <w:szCs w:val="24"/>
        </w:rPr>
        <w:t xml:space="preserve"> any Call Off Contract.</w:t>
      </w:r>
    </w:p>
    <w:p w:rsidR="00C474C7" w:rsidRDefault="00D839C7">
      <w:pPr>
        <w:numPr>
          <w:ilvl w:val="0"/>
          <w:numId w:val="1"/>
        </w:numPr>
        <w:pBdr>
          <w:top w:val="nil"/>
          <w:left w:val="nil"/>
          <w:bottom w:val="nil"/>
          <w:right w:val="nil"/>
          <w:between w:val="nil"/>
        </w:pBdr>
        <w:tabs>
          <w:tab w:val="left" w:pos="142"/>
        </w:tabs>
        <w:spacing w:before="120" w:after="240" w:line="240" w:lineRule="auto"/>
        <w:ind w:hanging="360"/>
        <w:jc w:val="both"/>
        <w:rPr>
          <w:rFonts w:ascii="Arial" w:eastAsia="Arial" w:hAnsi="Arial" w:cs="Arial"/>
          <w:sz w:val="24"/>
          <w:szCs w:val="24"/>
        </w:rPr>
      </w:pPr>
      <w:r>
        <w:rPr>
          <w:rFonts w:ascii="Arial" w:eastAsia="Arial" w:hAnsi="Arial" w:cs="Arial"/>
          <w:b/>
          <w:color w:val="000000"/>
          <w:sz w:val="24"/>
          <w:szCs w:val="24"/>
        </w:rPr>
        <w:t>When the Supplier can ask to change the Framework Prices</w:t>
      </w:r>
    </w:p>
    <w:p w:rsidR="00C474C7" w:rsidRDefault="00D839C7">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will be fixed for the first two (2)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w:t>
      </w:r>
      <w:r>
        <w:rPr>
          <w:rFonts w:ascii="Arial" w:eastAsia="Arial" w:hAnsi="Arial" w:cs="Arial"/>
          <w:color w:val="000000"/>
          <w:sz w:val="24"/>
          <w:szCs w:val="24"/>
        </w:rPr>
        <w:t xml:space="preserve">r this Framework Prices can only be </w:t>
      </w:r>
      <w:r>
        <w:rPr>
          <w:rFonts w:ascii="Arial" w:eastAsia="Arial" w:hAnsi="Arial" w:cs="Arial"/>
          <w:color w:val="000000"/>
          <w:sz w:val="24"/>
          <w:szCs w:val="24"/>
        </w:rPr>
        <w:lastRenderedPageBreak/>
        <w:t>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rsidR="00C474C7" w:rsidRDefault="00D839C7">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give CCS at least three (3) Months' notice in writing prior to a Review Date where it wants to</w:t>
      </w:r>
      <w:r>
        <w:rPr>
          <w:rFonts w:ascii="Arial" w:eastAsia="Arial" w:hAnsi="Arial" w:cs="Arial"/>
          <w:color w:val="000000"/>
          <w:sz w:val="24"/>
          <w:szCs w:val="24"/>
        </w:rPr>
        <w:t xml:space="preserve"> request an increase.  If the Supplier does not give notice in time then it will only be able to request an increase prior to the next Review Date.</w:t>
      </w:r>
    </w:p>
    <w:p w:rsidR="00C474C7" w:rsidRDefault="00D839C7">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rsidR="00C474C7" w:rsidRDefault="00D839C7">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b/>
          <w:i/>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rsidR="00C474C7" w:rsidRDefault="00D839C7">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rsidR="00C474C7" w:rsidRDefault="00D839C7">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rsidR="00C474C7" w:rsidRDefault="00D839C7">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b/>
          <w:i/>
          <w:color w:val="000000"/>
          <w:sz w:val="24"/>
          <w:szCs w:val="24"/>
        </w:rPr>
      </w:pPr>
      <w:r>
        <w:rPr>
          <w:rFonts w:ascii="Arial" w:eastAsia="Arial" w:hAnsi="Arial" w:cs="Arial"/>
          <w:color w:val="000000"/>
          <w:sz w:val="24"/>
          <w:szCs w:val="24"/>
        </w:rPr>
        <w:t>evidence that the Supplier has attempted to mitigate against the increase in the relevant cost components.</w:t>
      </w:r>
    </w:p>
    <w:p w:rsidR="00C474C7" w:rsidRDefault="00D839C7">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rsidR="00C474C7" w:rsidRDefault="00D839C7">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w:t>
      </w:r>
      <w:r>
        <w:rPr>
          <w:rFonts w:ascii="Arial" w:eastAsia="Arial" w:hAnsi="Arial" w:cs="Arial"/>
          <w:color w:val="000000"/>
          <w:sz w:val="24"/>
          <w:szCs w:val="24"/>
        </w:rPr>
        <w:t>hen it will be implemented from the first (1st) Working Day following the relevant Review Date or such later date as CCS may determine at its sole discretion and Annex 1 shall be updated accordingly.</w:t>
      </w:r>
    </w:p>
    <w:p w:rsidR="00C474C7" w:rsidRDefault="00D839C7">
      <w:pPr>
        <w:numPr>
          <w:ilvl w:val="0"/>
          <w:numId w:val="1"/>
        </w:numPr>
        <w:pBdr>
          <w:top w:val="nil"/>
          <w:left w:val="nil"/>
          <w:bottom w:val="nil"/>
          <w:right w:val="nil"/>
          <w:between w:val="nil"/>
        </w:pBdr>
        <w:tabs>
          <w:tab w:val="left" w:pos="142"/>
        </w:tabs>
        <w:spacing w:before="120" w:after="240" w:line="240" w:lineRule="auto"/>
        <w:ind w:hanging="360"/>
        <w:jc w:val="both"/>
        <w:rPr>
          <w:rFonts w:ascii="Arial" w:eastAsia="Arial" w:hAnsi="Arial" w:cs="Arial"/>
          <w:sz w:val="24"/>
          <w:szCs w:val="24"/>
        </w:rPr>
      </w:pPr>
      <w:r>
        <w:rPr>
          <w:rFonts w:ascii="Arial" w:eastAsia="Arial" w:hAnsi="Arial" w:cs="Arial"/>
          <w:b/>
          <w:color w:val="000000"/>
          <w:sz w:val="24"/>
          <w:szCs w:val="24"/>
        </w:rPr>
        <w:t>Other events that allow the Supplier to change the Frame</w:t>
      </w:r>
      <w:r>
        <w:rPr>
          <w:rFonts w:ascii="Arial" w:eastAsia="Arial" w:hAnsi="Arial" w:cs="Arial"/>
          <w:b/>
          <w:color w:val="000000"/>
          <w:sz w:val="24"/>
          <w:szCs w:val="24"/>
        </w:rPr>
        <w:t>work Prices</w:t>
      </w:r>
    </w:p>
    <w:p w:rsidR="00C474C7" w:rsidRDefault="00D839C7">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request from the Supplier, which it can make at any time, to decrease the Framework Prices; </w:t>
      </w:r>
    </w:p>
    <w:p w:rsidR="00C474C7" w:rsidRDefault="00D839C7">
      <w:pPr>
        <w:numPr>
          <w:ilvl w:val="0"/>
          <w:numId w:val="1"/>
        </w:numPr>
        <w:pBdr>
          <w:top w:val="nil"/>
          <w:left w:val="nil"/>
          <w:bottom w:val="nil"/>
          <w:right w:val="nil"/>
          <w:between w:val="nil"/>
        </w:pBdr>
        <w:tabs>
          <w:tab w:val="left" w:pos="142"/>
        </w:tabs>
        <w:spacing w:before="120" w:after="240" w:line="240" w:lineRule="auto"/>
        <w:ind w:hanging="360"/>
        <w:jc w:val="both"/>
      </w:pPr>
      <w:r>
        <w:rPr>
          <w:rFonts w:ascii="Arial" w:eastAsia="Arial" w:hAnsi="Arial" w:cs="Arial"/>
          <w:b/>
          <w:color w:val="000000"/>
          <w:sz w:val="24"/>
          <w:szCs w:val="24"/>
        </w:rPr>
        <w:t>When you will be reimbursed for travel and subsistence</w:t>
      </w:r>
    </w:p>
    <w:p w:rsidR="00C474C7" w:rsidRDefault="00D839C7">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Expenses shall only be recoverable where:</w:t>
      </w:r>
    </w:p>
    <w:p w:rsidR="00C474C7" w:rsidRDefault="00D839C7">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Time and Materials pricing mechanism is used; and</w:t>
      </w:r>
    </w:p>
    <w:p w:rsidR="00C474C7" w:rsidRDefault="00D839C7">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rsidR="00C474C7" w:rsidRDefault="00D839C7">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lastRenderedPageBreak/>
        <w:t>they are Reimbursable Expenses and are supported by Supporting Documentation.</w:t>
      </w:r>
    </w:p>
    <w:p w:rsidR="00C474C7" w:rsidRDefault="00D839C7">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Buyer shall provide a co</w:t>
      </w:r>
      <w:r>
        <w:rPr>
          <w:rFonts w:ascii="Arial" w:eastAsia="Arial" w:hAnsi="Arial" w:cs="Arial"/>
          <w:color w:val="000000"/>
          <w:sz w:val="24"/>
          <w:szCs w:val="24"/>
        </w:rPr>
        <w:t xml:space="preserve">py of their current expenses policy to the Supplier upon request. </w:t>
      </w:r>
    </w:p>
    <w:p w:rsidR="00C474C7" w:rsidRDefault="00D839C7">
      <w:pPr>
        <w:numPr>
          <w:ilvl w:val="0"/>
          <w:numId w:val="1"/>
        </w:numPr>
        <w:pBdr>
          <w:top w:val="nil"/>
          <w:left w:val="nil"/>
          <w:bottom w:val="nil"/>
          <w:right w:val="nil"/>
          <w:between w:val="nil"/>
        </w:pBdr>
        <w:tabs>
          <w:tab w:val="left" w:pos="0"/>
        </w:tabs>
        <w:spacing w:before="240" w:after="240" w:line="240" w:lineRule="auto"/>
        <w:ind w:hanging="360"/>
        <w:jc w:val="both"/>
        <w:rPr>
          <w:rFonts w:ascii="Arial" w:eastAsia="Arial" w:hAnsi="Arial" w:cs="Arial"/>
          <w:b/>
          <w:smallCaps/>
          <w:color w:val="000000"/>
          <w:sz w:val="24"/>
          <w:szCs w:val="24"/>
        </w:rPr>
      </w:pPr>
      <w:r>
        <w:rPr>
          <w:rFonts w:ascii="Arial" w:eastAsia="Arial" w:hAnsi="Arial" w:cs="Arial"/>
          <w:b/>
          <w:color w:val="000000"/>
          <w:sz w:val="24"/>
          <w:szCs w:val="24"/>
        </w:rPr>
        <w:t>indexation of pricing in response to foreign exchange rates</w:t>
      </w:r>
    </w:p>
    <w:p w:rsidR="00C474C7" w:rsidRDefault="00D839C7">
      <w:pPr>
        <w:numPr>
          <w:ilvl w:val="1"/>
          <w:numId w:val="1"/>
        </w:numPr>
        <w:pBdr>
          <w:top w:val="nil"/>
          <w:left w:val="nil"/>
          <w:bottom w:val="nil"/>
          <w:right w:val="nil"/>
          <w:between w:val="nil"/>
        </w:pBdr>
        <w:tabs>
          <w:tab w:val="left" w:pos="1134"/>
        </w:tabs>
        <w:spacing w:before="120" w:after="120" w:line="240" w:lineRule="auto"/>
        <w:ind w:left="981" w:hanging="357"/>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Pricing for Services delivered under this Framework will be in Pounds Sterling (GBP).</w:t>
      </w:r>
    </w:p>
    <w:p w:rsidR="00C474C7" w:rsidRDefault="00C474C7">
      <w:pPr>
        <w:pBdr>
          <w:top w:val="nil"/>
          <w:left w:val="nil"/>
          <w:bottom w:val="nil"/>
          <w:right w:val="nil"/>
          <w:between w:val="nil"/>
        </w:pBdr>
        <w:tabs>
          <w:tab w:val="left" w:pos="1134"/>
        </w:tabs>
        <w:spacing w:before="120" w:after="120" w:line="240" w:lineRule="auto"/>
        <w:ind w:left="644" w:hanging="359"/>
        <w:jc w:val="both"/>
        <w:rPr>
          <w:rFonts w:ascii="Arial" w:eastAsia="Arial" w:hAnsi="Arial" w:cs="Arial"/>
          <w:color w:val="000000"/>
          <w:sz w:val="24"/>
          <w:szCs w:val="24"/>
          <w:highlight w:val="white"/>
        </w:rPr>
      </w:pPr>
    </w:p>
    <w:p w:rsidR="00C474C7" w:rsidRDefault="00D839C7">
      <w:pPr>
        <w:numPr>
          <w:ilvl w:val="1"/>
          <w:numId w:val="1"/>
        </w:numPr>
        <w:pBdr>
          <w:top w:val="nil"/>
          <w:left w:val="nil"/>
          <w:bottom w:val="nil"/>
          <w:right w:val="nil"/>
          <w:between w:val="nil"/>
        </w:pBdr>
        <w:tabs>
          <w:tab w:val="left" w:pos="1134"/>
        </w:tabs>
        <w:spacing w:before="120" w:after="120" w:line="240" w:lineRule="auto"/>
        <w:ind w:left="983"/>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Given the international nature of Services provided under this contract, the Authority will permit the following mechanism for tracking either US Dollars (USD) or Euros (EUR) against GBP:</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2194"/>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Three standard currency fluctuation thresholds will be used: 3%, 5%,</w:t>
      </w:r>
      <w:r>
        <w:rPr>
          <w:rFonts w:ascii="Arial" w:eastAsia="Arial" w:hAnsi="Arial" w:cs="Arial"/>
          <w:color w:val="000000"/>
          <w:sz w:val="24"/>
          <w:szCs w:val="24"/>
          <w:highlight w:val="white"/>
        </w:rPr>
        <w:t xml:space="preserve"> and 10%. If over the previous 12 months, the average forex rate exceeds 3% in comparison to the forex rate at the Framework Start Date, then an automatic increase of 3% will be provided (and the same equivalent increase applies to each threshold). For the</w:t>
      </w:r>
      <w:r>
        <w:rPr>
          <w:rFonts w:ascii="Arial" w:eastAsia="Arial" w:hAnsi="Arial" w:cs="Arial"/>
          <w:color w:val="000000"/>
          <w:sz w:val="24"/>
          <w:szCs w:val="24"/>
          <w:highlight w:val="white"/>
        </w:rPr>
        <w:t xml:space="preserve"> avoidance of doubt, only 3%, 5% or 10% automatic increases will be applied irrespective of whether the average forex rate over the previous 12 months has exceeded one threshold but not the threshold above. The maximum rate increase will be 10%, excepting </w:t>
      </w:r>
      <w:r>
        <w:rPr>
          <w:rFonts w:ascii="Arial" w:eastAsia="Arial" w:hAnsi="Arial" w:cs="Arial"/>
          <w:color w:val="000000"/>
          <w:sz w:val="24"/>
          <w:szCs w:val="24"/>
          <w:highlight w:val="white"/>
        </w:rPr>
        <w:t>extreme events.​</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2194"/>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An extreme events pressure release will also be included where USD or EUR increase 15% or more against GBP over a period of 3 months or more. An automatic rate increase will not be applied, but suppliers can apply for a temporary increase </w:t>
      </w:r>
      <w:r>
        <w:rPr>
          <w:rFonts w:ascii="Arial" w:eastAsia="Arial" w:hAnsi="Arial" w:cs="Arial"/>
          <w:color w:val="000000"/>
          <w:sz w:val="24"/>
          <w:szCs w:val="24"/>
          <w:highlight w:val="white"/>
        </w:rPr>
        <w:t>in maximum framework rates providing they are able to demonstrate sufficient justification in writing.​ The extreme events increase, if granted, would be time-limited and specified by the Authority.</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2194"/>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Written evidence of the justification for the requested i</w:t>
      </w:r>
      <w:r>
        <w:rPr>
          <w:rFonts w:ascii="Arial" w:eastAsia="Arial" w:hAnsi="Arial" w:cs="Arial"/>
          <w:color w:val="000000"/>
          <w:sz w:val="24"/>
          <w:szCs w:val="24"/>
          <w:highlight w:val="white"/>
        </w:rPr>
        <w:t>ncrease includes:</w:t>
      </w:r>
    </w:p>
    <w:p w:rsidR="00C474C7" w:rsidRDefault="00D839C7">
      <w:pPr>
        <w:numPr>
          <w:ilvl w:val="3"/>
          <w:numId w:val="1"/>
        </w:numPr>
        <w:pBdr>
          <w:top w:val="nil"/>
          <w:left w:val="nil"/>
          <w:bottom w:val="nil"/>
          <w:right w:val="nil"/>
          <w:between w:val="nil"/>
        </w:pBdr>
        <w:tabs>
          <w:tab w:val="left" w:pos="1985"/>
          <w:tab w:val="left" w:pos="2127"/>
        </w:tabs>
        <w:spacing w:before="120" w:after="120" w:line="240" w:lineRule="auto"/>
        <w:ind w:left="258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a breakdown of the profit and cost components that comprise the relevant Framework Price; </w:t>
      </w:r>
    </w:p>
    <w:p w:rsidR="00C474C7" w:rsidRDefault="00D839C7">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details of the movement in the different identified cost components of the relevant Framework Price;</w:t>
      </w:r>
    </w:p>
    <w:p w:rsidR="00C474C7" w:rsidRDefault="00D839C7">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reasons for the movement in the different identified cost components of the relevant Framework Price;</w:t>
      </w:r>
    </w:p>
    <w:p w:rsidR="00C474C7" w:rsidRDefault="00D839C7">
      <w:pPr>
        <w:numPr>
          <w:ilvl w:val="3"/>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evidence that the Supplier has attempted to mitigate against the increase in the relevant cost components.</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2194"/>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The average forex rate over the previous 12 mon</w:t>
      </w:r>
      <w:r>
        <w:rPr>
          <w:rFonts w:ascii="Arial" w:eastAsia="Arial" w:hAnsi="Arial" w:cs="Arial"/>
          <w:color w:val="000000"/>
          <w:sz w:val="24"/>
          <w:szCs w:val="24"/>
          <w:highlight w:val="white"/>
        </w:rPr>
        <w:t xml:space="preserve">ths will be used to calculate the forex risk the Supplier is holding. Average annual exchange rate fluctuation will be calculated using Bank of England rates.​ The first review will take place on the first </w:t>
      </w:r>
      <w:r>
        <w:rPr>
          <w:rFonts w:ascii="Arial" w:eastAsia="Arial" w:hAnsi="Arial" w:cs="Arial"/>
          <w:color w:val="000000"/>
          <w:sz w:val="24"/>
          <w:szCs w:val="24"/>
          <w:highlight w:val="white"/>
        </w:rPr>
        <w:lastRenderedPageBreak/>
        <w:t>anniversary of the Framework Start Date, and on tw</w:t>
      </w:r>
      <w:r>
        <w:rPr>
          <w:rFonts w:ascii="Arial" w:eastAsia="Arial" w:hAnsi="Arial" w:cs="Arial"/>
          <w:color w:val="000000"/>
          <w:sz w:val="24"/>
          <w:szCs w:val="24"/>
          <w:highlight w:val="white"/>
        </w:rPr>
        <w:t>o further occasions at 12 month intervals.</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2194"/>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Each year the rates will revert back to the original Framework rates unless the exchange rate threshold continues to be met or is further exceeded. Increases will not be cumulative so in normal circumstances will </w:t>
      </w:r>
      <w:r>
        <w:rPr>
          <w:rFonts w:ascii="Arial" w:eastAsia="Arial" w:hAnsi="Arial" w:cs="Arial"/>
          <w:color w:val="000000"/>
          <w:sz w:val="24"/>
          <w:szCs w:val="24"/>
          <w:highlight w:val="white"/>
        </w:rPr>
        <w:t>never exceed 10% of the original framework rates. ​</w:t>
      </w:r>
    </w:p>
    <w:p w:rsidR="00C474C7" w:rsidRDefault="00D839C7">
      <w:pPr>
        <w:numPr>
          <w:ilvl w:val="1"/>
          <w:numId w:val="1"/>
        </w:numPr>
        <w:pBdr>
          <w:top w:val="nil"/>
          <w:left w:val="nil"/>
          <w:bottom w:val="nil"/>
          <w:right w:val="nil"/>
          <w:between w:val="nil"/>
        </w:pBdr>
        <w:tabs>
          <w:tab w:val="left" w:pos="1134"/>
        </w:tabs>
        <w:spacing w:before="120" w:after="120" w:line="240" w:lineRule="auto"/>
        <w:ind w:left="983"/>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This mechanism is available to all suppliers regardless of their HQ location. Suppliers will select which currency (USD or EUR) to be tracked against at the beginning of the Framework Agreement and will n</w:t>
      </w:r>
      <w:r>
        <w:rPr>
          <w:rFonts w:ascii="Arial" w:eastAsia="Arial" w:hAnsi="Arial" w:cs="Arial"/>
          <w:color w:val="000000"/>
          <w:sz w:val="24"/>
          <w:szCs w:val="24"/>
          <w:highlight w:val="white"/>
        </w:rPr>
        <w:t>ot be able to switch currencies.​</w:t>
      </w:r>
    </w:p>
    <w:p w:rsidR="00C474C7" w:rsidRDefault="00D839C7">
      <w:pPr>
        <w:numPr>
          <w:ilvl w:val="1"/>
          <w:numId w:val="1"/>
        </w:numPr>
        <w:pBdr>
          <w:top w:val="nil"/>
          <w:left w:val="nil"/>
          <w:bottom w:val="nil"/>
          <w:right w:val="nil"/>
          <w:between w:val="nil"/>
        </w:pBdr>
        <w:tabs>
          <w:tab w:val="left" w:pos="1134"/>
        </w:tabs>
        <w:spacing w:before="120" w:after="120" w:line="240" w:lineRule="auto"/>
        <w:ind w:left="983"/>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Where the standard threshold is met, the increase to maximum rates under the Framework will be automatic for any Supplier being tracked against a currency that breaches the specified threshold.​</w:t>
      </w:r>
    </w:p>
    <w:p w:rsidR="00C474C7" w:rsidRDefault="00D839C7">
      <w:pPr>
        <w:numPr>
          <w:ilvl w:val="1"/>
          <w:numId w:val="1"/>
        </w:numPr>
        <w:pBdr>
          <w:top w:val="nil"/>
          <w:left w:val="nil"/>
          <w:bottom w:val="nil"/>
          <w:right w:val="nil"/>
          <w:between w:val="nil"/>
        </w:pBdr>
        <w:tabs>
          <w:tab w:val="left" w:pos="1134"/>
        </w:tabs>
        <w:spacing w:before="120" w:after="120" w:line="240" w:lineRule="auto"/>
        <w:ind w:left="983"/>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The rate increase applies only to the maximum rates that can be charged under the Framework, and shall not affect the rates payable by a Buyer under a Call-off Contract in force at the time the automatic increase is applied.</w:t>
      </w:r>
    </w:p>
    <w:p w:rsidR="00C474C7" w:rsidRDefault="00D839C7">
      <w:pPr>
        <w:numPr>
          <w:ilvl w:val="1"/>
          <w:numId w:val="1"/>
        </w:numPr>
        <w:pBdr>
          <w:top w:val="nil"/>
          <w:left w:val="nil"/>
          <w:bottom w:val="nil"/>
          <w:right w:val="nil"/>
          <w:between w:val="nil"/>
        </w:pBdr>
        <w:tabs>
          <w:tab w:val="left" w:pos="1134"/>
        </w:tabs>
        <w:spacing w:before="120" w:after="120" w:line="240" w:lineRule="auto"/>
        <w:ind w:left="983"/>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The following example is provid</w:t>
      </w:r>
      <w:r>
        <w:rPr>
          <w:rFonts w:ascii="Arial" w:eastAsia="Arial" w:hAnsi="Arial" w:cs="Arial"/>
          <w:color w:val="000000"/>
          <w:sz w:val="24"/>
          <w:szCs w:val="24"/>
          <w:highlight w:val="white"/>
        </w:rPr>
        <w:t>ed for illustrative purposes:</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2194"/>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Using an example where the Framework commenced in January 2019 and the first annual review of rates was January 2020, the annual average strengthening of USD against GBP was 1.26% and was 3.3% for EUR. </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2194"/>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On this basis, Supplier</w:t>
      </w:r>
      <w:r>
        <w:rPr>
          <w:rFonts w:ascii="Arial" w:eastAsia="Arial" w:hAnsi="Arial" w:cs="Arial"/>
          <w:color w:val="000000"/>
          <w:sz w:val="24"/>
          <w:szCs w:val="24"/>
          <w:highlight w:val="white"/>
        </w:rPr>
        <w:t>s being tracked against USD would receive no increase to their maximum Framework rates and Suppliers being tracked against EUR would receive an automatic increase of 3% to their maximum Framework rates. ​</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2137"/>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On the following anniversary of the Framework Start</w:t>
      </w:r>
      <w:r>
        <w:rPr>
          <w:rFonts w:ascii="Arial" w:eastAsia="Arial" w:hAnsi="Arial" w:cs="Arial"/>
          <w:color w:val="000000"/>
          <w:sz w:val="24"/>
          <w:szCs w:val="24"/>
          <w:highlight w:val="white"/>
        </w:rPr>
        <w:t xml:space="preserve"> Date in January 2021, the average monthly exchange rate for the period Feb 2020 – January 2021 would be reviewed for both currencies. </w:t>
      </w:r>
    </w:p>
    <w:p w:rsidR="00C474C7" w:rsidRDefault="00D839C7">
      <w:pPr>
        <w:numPr>
          <w:ilvl w:val="2"/>
          <w:numId w:val="1"/>
        </w:numPr>
        <w:pBdr>
          <w:top w:val="nil"/>
          <w:left w:val="nil"/>
          <w:bottom w:val="nil"/>
          <w:right w:val="nil"/>
          <w:between w:val="nil"/>
        </w:pBdr>
        <w:tabs>
          <w:tab w:val="left" w:pos="1985"/>
          <w:tab w:val="left" w:pos="2127"/>
        </w:tabs>
        <w:spacing w:before="120" w:after="120" w:line="240" w:lineRule="auto"/>
        <w:ind w:left="2194"/>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If the GBP to EUR increase against the initial exchange rate on Framework commencement was now below 3% then the rates for EUR tracked suppliers would revert back to the original Framework rates. If EUR had further strengthened against GBP and was now 6.6%</w:t>
      </w:r>
      <w:r>
        <w:rPr>
          <w:rFonts w:ascii="Arial" w:eastAsia="Arial" w:hAnsi="Arial" w:cs="Arial"/>
          <w:color w:val="000000"/>
          <w:sz w:val="24"/>
          <w:szCs w:val="24"/>
          <w:highlight w:val="white"/>
        </w:rPr>
        <w:t xml:space="preserve"> then rates would automatically be increased by 5%.</w:t>
      </w:r>
    </w:p>
    <w:p w:rsidR="00C474C7" w:rsidRDefault="00C474C7">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sz w:val="24"/>
          <w:szCs w:val="24"/>
        </w:rPr>
      </w:pPr>
    </w:p>
    <w:p w:rsidR="00C474C7" w:rsidRDefault="00C324FF">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sz w:val="24"/>
          <w:szCs w:val="24"/>
        </w:rPr>
      </w:pPr>
      <w:bookmarkStart w:id="7" w:name="_heading=h.3znysh7" w:colFirst="0" w:colLast="0"/>
      <w:bookmarkEnd w:id="7"/>
      <w:r>
        <w:rPr>
          <w:rFonts w:ascii="Arial Bold" w:eastAsia="Arial Bold" w:hAnsi="Arial Bold" w:cs="Arial Bold"/>
          <w:b/>
          <w:smallCaps/>
          <w:color w:val="000000"/>
          <w:sz w:val="24"/>
          <w:szCs w:val="24"/>
        </w:rPr>
        <w:t>REDACTED</w:t>
      </w:r>
      <w:bookmarkStart w:id="8" w:name="_GoBack"/>
      <w:bookmarkEnd w:id="8"/>
    </w:p>
    <w:p w:rsidR="00C474C7" w:rsidRDefault="00C474C7">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C474C7" w:rsidRDefault="00D839C7">
      <w:pPr>
        <w:rPr>
          <w:rFonts w:ascii="Arial" w:eastAsia="Arial" w:hAnsi="Arial" w:cs="Arial"/>
          <w:b/>
          <w:sz w:val="36"/>
          <w:szCs w:val="36"/>
        </w:rPr>
      </w:pPr>
      <w:bookmarkStart w:id="9" w:name="_heading=h.1t3h5sf" w:colFirst="0" w:colLast="0"/>
      <w:bookmarkEnd w:id="9"/>
      <w:r>
        <w:br w:type="page"/>
      </w:r>
      <w:r>
        <w:rPr>
          <w:rFonts w:ascii="Arial" w:eastAsia="Arial" w:hAnsi="Arial" w:cs="Arial"/>
          <w:b/>
          <w:sz w:val="36"/>
          <w:szCs w:val="36"/>
        </w:rPr>
        <w:lastRenderedPageBreak/>
        <w:t>Annex 1: Rates and Prices</w:t>
      </w:r>
    </w:p>
    <w:p w:rsidR="00C474C7" w:rsidRDefault="00D839C7">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rsidR="00C474C7" w:rsidRDefault="00D839C7">
      <w:pPr>
        <w:keepNext/>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Supplier (and its Sub-Contractor) shall not be entitled to include any uplift for risks or contingencies within its rates</w:t>
      </w:r>
    </w:p>
    <w:p w:rsidR="00C474C7" w:rsidRDefault="00D839C7">
      <w:pPr>
        <w:pBdr>
          <w:top w:val="nil"/>
          <w:left w:val="nil"/>
          <w:bottom w:val="nil"/>
          <w:right w:val="nil"/>
          <w:between w:val="nil"/>
        </w:pBdr>
        <w:spacing w:before="240" w:after="120" w:line="240" w:lineRule="auto"/>
        <w:rPr>
          <w:rFonts w:ascii="Arial" w:eastAsia="Arial" w:hAnsi="Arial" w:cs="Arial"/>
          <w:i/>
          <w:color w:val="000000"/>
          <w:sz w:val="24"/>
          <w:szCs w:val="24"/>
        </w:rPr>
      </w:pPr>
      <w:r>
        <w:rPr>
          <w:rFonts w:ascii="Arial" w:eastAsia="Arial" w:hAnsi="Arial" w:cs="Arial"/>
          <w:i/>
          <w:color w:val="000000"/>
          <w:sz w:val="24"/>
          <w:szCs w:val="24"/>
        </w:rPr>
        <w:t xml:space="preserve">The rates below shall not be subject to variation by way of Indexation but may be subject to change based on exchange rate as set </w:t>
      </w:r>
      <w:r>
        <w:rPr>
          <w:rFonts w:ascii="Arial" w:eastAsia="Arial" w:hAnsi="Arial" w:cs="Arial"/>
          <w:i/>
          <w:color w:val="000000"/>
          <w:sz w:val="24"/>
          <w:szCs w:val="24"/>
        </w:rPr>
        <w:t>out in section 8 of the Framework Specification.</w:t>
      </w:r>
    </w:p>
    <w:p w:rsidR="00C474C7" w:rsidRDefault="00D839C7">
      <w:pPr>
        <w:pBdr>
          <w:top w:val="nil"/>
          <w:left w:val="nil"/>
          <w:bottom w:val="nil"/>
          <w:right w:val="nil"/>
          <w:between w:val="nil"/>
        </w:pBdr>
        <w:spacing w:before="240" w:after="0" w:line="240" w:lineRule="auto"/>
        <w:rPr>
          <w:rFonts w:ascii="Arial" w:eastAsia="Arial" w:hAnsi="Arial" w:cs="Arial"/>
          <w:i/>
          <w:color w:val="000000"/>
          <w:sz w:val="24"/>
          <w:szCs w:val="24"/>
        </w:rPr>
      </w:pPr>
      <w:r>
        <w:rPr>
          <w:rFonts w:ascii="Arial" w:eastAsia="Arial" w:hAnsi="Arial" w:cs="Arial"/>
          <w:i/>
          <w:color w:val="000000"/>
          <w:sz w:val="24"/>
          <w:szCs w:val="24"/>
        </w:rPr>
        <w:t>Legal Grades (to be replicated for other countries/jurisdictions if applicable)</w:t>
      </w:r>
    </w:p>
    <w:p w:rsidR="00C474C7" w:rsidRDefault="00C474C7">
      <w:pPr>
        <w:pBdr>
          <w:top w:val="nil"/>
          <w:left w:val="nil"/>
          <w:bottom w:val="nil"/>
          <w:right w:val="nil"/>
          <w:between w:val="nil"/>
        </w:pBdr>
        <w:spacing w:before="240" w:after="0" w:line="240" w:lineRule="auto"/>
        <w:rPr>
          <w:rFonts w:ascii="Arial" w:eastAsia="Arial" w:hAnsi="Arial" w:cs="Arial"/>
          <w:b/>
          <w:i/>
          <w:color w:val="000000"/>
          <w:sz w:val="24"/>
          <w:szCs w:val="24"/>
        </w:rPr>
      </w:pPr>
    </w:p>
    <w:tbl>
      <w:tblPr>
        <w:tblStyle w:val="a3"/>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987"/>
        <w:gridCol w:w="7029"/>
      </w:tblGrid>
      <w:tr w:rsidR="00C474C7">
        <w:trPr>
          <w:trHeight w:val="556"/>
        </w:trPr>
        <w:tc>
          <w:tcPr>
            <w:tcW w:w="1987" w:type="dxa"/>
            <w:shd w:val="clear" w:color="auto" w:fill="548DD4"/>
          </w:tcPr>
          <w:p w:rsidR="00C474C7" w:rsidRDefault="00D839C7">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Legal Grade</w:t>
            </w:r>
          </w:p>
        </w:tc>
        <w:tc>
          <w:tcPr>
            <w:tcW w:w="7029" w:type="dxa"/>
            <w:shd w:val="clear" w:color="auto" w:fill="548DD4"/>
          </w:tcPr>
          <w:p w:rsidR="00C474C7" w:rsidRDefault="00D839C7">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Hourly Rate (£)</w:t>
            </w:r>
          </w:p>
        </w:tc>
      </w:tr>
      <w:tr w:rsidR="00C474C7">
        <w:trPr>
          <w:trHeight w:val="556"/>
        </w:trPr>
        <w:tc>
          <w:tcPr>
            <w:tcW w:w="1987" w:type="dxa"/>
          </w:tcPr>
          <w:p w:rsidR="00C474C7" w:rsidRDefault="00D839C7">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1</w:t>
            </w:r>
          </w:p>
        </w:tc>
        <w:tc>
          <w:tcPr>
            <w:tcW w:w="7029" w:type="dxa"/>
          </w:tcPr>
          <w:p w:rsidR="00C474C7" w:rsidRDefault="00C474C7">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C474C7">
        <w:trPr>
          <w:trHeight w:val="556"/>
        </w:trPr>
        <w:tc>
          <w:tcPr>
            <w:tcW w:w="1987" w:type="dxa"/>
          </w:tcPr>
          <w:p w:rsidR="00C474C7" w:rsidRDefault="00D839C7">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2</w:t>
            </w:r>
          </w:p>
        </w:tc>
        <w:tc>
          <w:tcPr>
            <w:tcW w:w="7029" w:type="dxa"/>
          </w:tcPr>
          <w:p w:rsidR="00C474C7" w:rsidRDefault="00C474C7">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C474C7">
        <w:trPr>
          <w:trHeight w:val="562"/>
        </w:trPr>
        <w:tc>
          <w:tcPr>
            <w:tcW w:w="1987" w:type="dxa"/>
          </w:tcPr>
          <w:p w:rsidR="00C474C7" w:rsidRDefault="00D839C7">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3</w:t>
            </w:r>
          </w:p>
        </w:tc>
        <w:tc>
          <w:tcPr>
            <w:tcW w:w="7029" w:type="dxa"/>
          </w:tcPr>
          <w:p w:rsidR="00C474C7" w:rsidRDefault="00C474C7">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C474C7">
        <w:trPr>
          <w:trHeight w:val="556"/>
        </w:trPr>
        <w:tc>
          <w:tcPr>
            <w:tcW w:w="1987" w:type="dxa"/>
          </w:tcPr>
          <w:p w:rsidR="00C474C7" w:rsidRDefault="00D839C7">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4</w:t>
            </w:r>
          </w:p>
        </w:tc>
        <w:tc>
          <w:tcPr>
            <w:tcW w:w="7029" w:type="dxa"/>
          </w:tcPr>
          <w:p w:rsidR="00C474C7" w:rsidRDefault="00C474C7">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C474C7">
        <w:trPr>
          <w:trHeight w:val="556"/>
        </w:trPr>
        <w:tc>
          <w:tcPr>
            <w:tcW w:w="1987" w:type="dxa"/>
          </w:tcPr>
          <w:p w:rsidR="00C474C7" w:rsidRDefault="00D839C7">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5</w:t>
            </w:r>
          </w:p>
        </w:tc>
        <w:tc>
          <w:tcPr>
            <w:tcW w:w="7029" w:type="dxa"/>
          </w:tcPr>
          <w:p w:rsidR="00C474C7" w:rsidRDefault="00C474C7">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C474C7">
        <w:trPr>
          <w:trHeight w:val="556"/>
        </w:trPr>
        <w:tc>
          <w:tcPr>
            <w:tcW w:w="1987" w:type="dxa"/>
          </w:tcPr>
          <w:p w:rsidR="00C474C7" w:rsidRDefault="00D839C7">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6</w:t>
            </w:r>
          </w:p>
        </w:tc>
        <w:tc>
          <w:tcPr>
            <w:tcW w:w="7029" w:type="dxa"/>
          </w:tcPr>
          <w:p w:rsidR="00C474C7" w:rsidRDefault="00C474C7">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C474C7">
        <w:trPr>
          <w:trHeight w:val="244"/>
        </w:trPr>
        <w:tc>
          <w:tcPr>
            <w:tcW w:w="1987" w:type="dxa"/>
          </w:tcPr>
          <w:p w:rsidR="00C474C7" w:rsidRDefault="00D839C7">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7</w:t>
            </w:r>
          </w:p>
        </w:tc>
        <w:tc>
          <w:tcPr>
            <w:tcW w:w="7029" w:type="dxa"/>
          </w:tcPr>
          <w:p w:rsidR="00C474C7" w:rsidRDefault="00C474C7">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rsidR="00C474C7" w:rsidRDefault="00C474C7">
      <w:pPr>
        <w:keepNext/>
        <w:pBdr>
          <w:top w:val="nil"/>
          <w:left w:val="nil"/>
          <w:bottom w:val="nil"/>
          <w:right w:val="nil"/>
          <w:between w:val="nil"/>
        </w:pBdr>
        <w:spacing w:before="240" w:after="240" w:line="240" w:lineRule="auto"/>
        <w:rPr>
          <w:rFonts w:ascii="Arial" w:eastAsia="Arial" w:hAnsi="Arial" w:cs="Arial"/>
          <w:i/>
          <w:color w:val="000000"/>
          <w:sz w:val="24"/>
          <w:szCs w:val="24"/>
        </w:rPr>
      </w:pPr>
    </w:p>
    <w:p w:rsidR="00C474C7" w:rsidRDefault="00D839C7">
      <w:pPr>
        <w:rPr>
          <w:rFonts w:ascii="Arial" w:eastAsia="Arial" w:hAnsi="Arial" w:cs="Arial"/>
          <w:i/>
          <w:sz w:val="24"/>
          <w:szCs w:val="24"/>
        </w:rPr>
      </w:pPr>
      <w:r>
        <w:br w:type="page"/>
      </w:r>
    </w:p>
    <w:p w:rsidR="00C474C7" w:rsidRDefault="00D839C7">
      <w:pPr>
        <w:keepNext/>
        <w:pBdr>
          <w:top w:val="nil"/>
          <w:left w:val="nil"/>
          <w:bottom w:val="nil"/>
          <w:right w:val="nil"/>
          <w:between w:val="nil"/>
        </w:pBdr>
        <w:spacing w:before="240" w:after="240" w:line="240" w:lineRule="auto"/>
        <w:rPr>
          <w:rFonts w:ascii="Arial" w:eastAsia="Arial" w:hAnsi="Arial" w:cs="Arial"/>
          <w:i/>
          <w:color w:val="000000"/>
          <w:sz w:val="24"/>
          <w:szCs w:val="24"/>
        </w:rPr>
      </w:pPr>
      <w:r>
        <w:rPr>
          <w:rFonts w:ascii="Arial" w:eastAsia="Arial" w:hAnsi="Arial" w:cs="Arial"/>
          <w:i/>
          <w:color w:val="000000"/>
          <w:sz w:val="24"/>
          <w:szCs w:val="24"/>
        </w:rPr>
        <w:lastRenderedPageBreak/>
        <w:t>Pricing for Optional Personnel</w:t>
      </w:r>
    </w:p>
    <w:tbl>
      <w:tblPr>
        <w:tblStyle w:val="a4"/>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980"/>
        <w:gridCol w:w="7036"/>
      </w:tblGrid>
      <w:tr w:rsidR="00C474C7">
        <w:tc>
          <w:tcPr>
            <w:tcW w:w="1980" w:type="dxa"/>
            <w:shd w:val="clear" w:color="auto" w:fill="548DD4"/>
          </w:tcPr>
          <w:p w:rsidR="00C474C7" w:rsidRDefault="00D839C7">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Staff Grade</w:t>
            </w:r>
          </w:p>
        </w:tc>
        <w:tc>
          <w:tcPr>
            <w:tcW w:w="7036" w:type="dxa"/>
            <w:shd w:val="clear" w:color="auto" w:fill="548DD4"/>
          </w:tcPr>
          <w:p w:rsidR="00C474C7" w:rsidRDefault="00D839C7">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Daily Rate (£)</w:t>
            </w:r>
          </w:p>
        </w:tc>
      </w:tr>
      <w:tr w:rsidR="00C474C7">
        <w:tc>
          <w:tcPr>
            <w:tcW w:w="1980" w:type="dxa"/>
          </w:tcPr>
          <w:p w:rsidR="00C474C7" w:rsidRDefault="00D839C7">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rPr>
              <w:t>Senior Analyst​</w:t>
            </w:r>
          </w:p>
        </w:tc>
        <w:tc>
          <w:tcPr>
            <w:tcW w:w="7036" w:type="dxa"/>
          </w:tcPr>
          <w:p w:rsidR="00C474C7" w:rsidRDefault="00C474C7">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C474C7">
        <w:tc>
          <w:tcPr>
            <w:tcW w:w="1980" w:type="dxa"/>
          </w:tcPr>
          <w:p w:rsidR="00C474C7" w:rsidRDefault="00D839C7">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Analyst</w:t>
            </w:r>
          </w:p>
        </w:tc>
        <w:tc>
          <w:tcPr>
            <w:tcW w:w="7036" w:type="dxa"/>
          </w:tcPr>
          <w:p w:rsidR="00C474C7" w:rsidRDefault="00C474C7">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C474C7">
        <w:tc>
          <w:tcPr>
            <w:tcW w:w="1980" w:type="dxa"/>
          </w:tcPr>
          <w:p w:rsidR="00C474C7" w:rsidRDefault="00D839C7">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Senior Modeller</w:t>
            </w:r>
          </w:p>
        </w:tc>
        <w:tc>
          <w:tcPr>
            <w:tcW w:w="7036" w:type="dxa"/>
          </w:tcPr>
          <w:p w:rsidR="00C474C7" w:rsidRDefault="00C474C7">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C474C7">
        <w:tc>
          <w:tcPr>
            <w:tcW w:w="1980" w:type="dxa"/>
          </w:tcPr>
          <w:p w:rsidR="00C474C7" w:rsidRDefault="00D839C7">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Modeller</w:t>
            </w:r>
          </w:p>
        </w:tc>
        <w:tc>
          <w:tcPr>
            <w:tcW w:w="7036" w:type="dxa"/>
          </w:tcPr>
          <w:p w:rsidR="00C474C7" w:rsidRDefault="00C474C7">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rsidR="00C474C7" w:rsidRDefault="00D839C7">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2: Volume Discount</w:t>
      </w:r>
    </w:p>
    <w:p w:rsidR="00C474C7" w:rsidRDefault="00D839C7">
      <w:pPr>
        <w:pBdr>
          <w:top w:val="nil"/>
          <w:left w:val="nil"/>
          <w:bottom w:val="nil"/>
          <w:right w:val="nil"/>
          <w:between w:val="nil"/>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The rates below shall not be subject to variation by way of Indexation</w:t>
      </w:r>
    </w:p>
    <w:tbl>
      <w:tblPr>
        <w:tblStyle w:val="a5"/>
        <w:tblW w:w="892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31"/>
        <w:gridCol w:w="4395"/>
      </w:tblGrid>
      <w:tr w:rsidR="00C474C7">
        <w:tc>
          <w:tcPr>
            <w:tcW w:w="4531" w:type="dxa"/>
            <w:shd w:val="clear" w:color="auto" w:fill="548DD4"/>
          </w:tcPr>
          <w:p w:rsidR="00C474C7" w:rsidRDefault="00D839C7">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No. of Hours</w:t>
            </w:r>
          </w:p>
        </w:tc>
        <w:tc>
          <w:tcPr>
            <w:tcW w:w="4395" w:type="dxa"/>
            <w:shd w:val="clear" w:color="auto" w:fill="548DD4"/>
          </w:tcPr>
          <w:p w:rsidR="00C474C7" w:rsidRDefault="00D839C7">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 Discount</w:t>
            </w:r>
          </w:p>
        </w:tc>
      </w:tr>
      <w:tr w:rsidR="00C474C7">
        <w:trPr>
          <w:trHeight w:val="636"/>
        </w:trPr>
        <w:tc>
          <w:tcPr>
            <w:tcW w:w="4531" w:type="dxa"/>
          </w:tcPr>
          <w:p w:rsidR="00C474C7" w:rsidRDefault="00D839C7">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rPr>
              <w:t>500 &gt; 999</w:t>
            </w:r>
          </w:p>
        </w:tc>
        <w:tc>
          <w:tcPr>
            <w:tcW w:w="4395" w:type="dxa"/>
          </w:tcPr>
          <w:p w:rsidR="00C474C7" w:rsidRDefault="00C474C7">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C474C7">
        <w:trPr>
          <w:trHeight w:val="636"/>
        </w:trPr>
        <w:tc>
          <w:tcPr>
            <w:tcW w:w="4531" w:type="dxa"/>
          </w:tcPr>
          <w:p w:rsidR="00C474C7" w:rsidRDefault="00D839C7">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1000-2999</w:t>
            </w:r>
          </w:p>
        </w:tc>
        <w:tc>
          <w:tcPr>
            <w:tcW w:w="4395" w:type="dxa"/>
          </w:tcPr>
          <w:p w:rsidR="00C474C7" w:rsidRDefault="00C474C7">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C474C7">
        <w:trPr>
          <w:trHeight w:val="636"/>
        </w:trPr>
        <w:tc>
          <w:tcPr>
            <w:tcW w:w="4531" w:type="dxa"/>
          </w:tcPr>
          <w:p w:rsidR="00C474C7" w:rsidRDefault="00D839C7">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3000+</w:t>
            </w:r>
          </w:p>
        </w:tc>
        <w:tc>
          <w:tcPr>
            <w:tcW w:w="4395" w:type="dxa"/>
          </w:tcPr>
          <w:p w:rsidR="00C474C7" w:rsidRDefault="00C474C7">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rsidR="00C474C7" w:rsidRDefault="00C474C7">
      <w:pPr>
        <w:pBdr>
          <w:top w:val="nil"/>
          <w:left w:val="nil"/>
          <w:bottom w:val="nil"/>
          <w:right w:val="nil"/>
          <w:between w:val="nil"/>
        </w:pBdr>
        <w:spacing w:before="240" w:after="120" w:line="240" w:lineRule="auto"/>
        <w:ind w:left="-142"/>
        <w:rPr>
          <w:rFonts w:ascii="Arial" w:eastAsia="Arial" w:hAnsi="Arial" w:cs="Arial"/>
          <w:b/>
          <w:i/>
          <w:color w:val="000000"/>
          <w:sz w:val="24"/>
          <w:szCs w:val="24"/>
        </w:rPr>
      </w:pPr>
    </w:p>
    <w:p w:rsidR="00C474C7" w:rsidRDefault="00D839C7">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3: Relevant Currency for Exchange Rate Mechanism</w:t>
      </w:r>
    </w:p>
    <w:p w:rsidR="00C474C7" w:rsidRDefault="00D839C7">
      <w:pPr>
        <w:keepNext/>
        <w:pBdr>
          <w:top w:val="nil"/>
          <w:left w:val="nil"/>
          <w:bottom w:val="nil"/>
          <w:right w:val="nil"/>
          <w:between w:val="nil"/>
        </w:pBdr>
        <w:spacing w:before="240" w:after="240" w:line="240" w:lineRule="auto"/>
        <w:rPr>
          <w:rFonts w:ascii="Arial" w:eastAsia="Arial" w:hAnsi="Arial" w:cs="Arial"/>
          <w:i/>
          <w:color w:val="000000"/>
          <w:sz w:val="24"/>
          <w:szCs w:val="24"/>
        </w:rPr>
      </w:pPr>
      <w:r>
        <w:rPr>
          <w:rFonts w:ascii="Arial" w:eastAsia="Arial" w:hAnsi="Arial" w:cs="Arial"/>
          <w:i/>
          <w:color w:val="000000"/>
          <w:sz w:val="24"/>
          <w:szCs w:val="24"/>
        </w:rPr>
        <w:t>A maximum of one currency may be selected.</w:t>
      </w:r>
    </w:p>
    <w:tbl>
      <w:tblPr>
        <w:tblStyle w:val="a6"/>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474C7">
        <w:trPr>
          <w:trHeight w:val="727"/>
        </w:trPr>
        <w:tc>
          <w:tcPr>
            <w:tcW w:w="4508" w:type="dxa"/>
            <w:shd w:val="clear" w:color="auto" w:fill="548DD4"/>
          </w:tcPr>
          <w:p w:rsidR="00C474C7" w:rsidRDefault="00C474C7">
            <w:pPr>
              <w:rPr>
                <w:rFonts w:ascii="Arial" w:eastAsia="Arial" w:hAnsi="Arial" w:cs="Arial"/>
                <w:b/>
                <w:sz w:val="24"/>
                <w:szCs w:val="24"/>
              </w:rPr>
            </w:pPr>
          </w:p>
          <w:p w:rsidR="00C474C7" w:rsidRDefault="00D839C7">
            <w:pPr>
              <w:rPr>
                <w:rFonts w:ascii="Arial" w:eastAsia="Arial" w:hAnsi="Arial" w:cs="Arial"/>
                <w:b/>
                <w:sz w:val="24"/>
                <w:szCs w:val="24"/>
              </w:rPr>
            </w:pPr>
            <w:r>
              <w:rPr>
                <w:rFonts w:ascii="Arial" w:eastAsia="Arial" w:hAnsi="Arial" w:cs="Arial"/>
                <w:b/>
                <w:sz w:val="24"/>
                <w:szCs w:val="24"/>
              </w:rPr>
              <w:t>Euros (EUR)</w:t>
            </w:r>
          </w:p>
        </w:tc>
        <w:tc>
          <w:tcPr>
            <w:tcW w:w="4508" w:type="dxa"/>
            <w:shd w:val="clear" w:color="auto" w:fill="548DD4"/>
          </w:tcPr>
          <w:p w:rsidR="00C474C7" w:rsidRDefault="00C474C7">
            <w:pPr>
              <w:rPr>
                <w:rFonts w:ascii="Arial" w:eastAsia="Arial" w:hAnsi="Arial" w:cs="Arial"/>
                <w:b/>
                <w:sz w:val="24"/>
                <w:szCs w:val="24"/>
              </w:rPr>
            </w:pPr>
          </w:p>
          <w:p w:rsidR="00C474C7" w:rsidRDefault="00D839C7">
            <w:pPr>
              <w:rPr>
                <w:rFonts w:ascii="Arial" w:eastAsia="Arial" w:hAnsi="Arial" w:cs="Arial"/>
                <w:b/>
                <w:sz w:val="24"/>
                <w:szCs w:val="24"/>
              </w:rPr>
            </w:pPr>
            <w:r>
              <w:rPr>
                <w:rFonts w:ascii="Arial" w:eastAsia="Arial" w:hAnsi="Arial" w:cs="Arial"/>
                <w:b/>
                <w:sz w:val="24"/>
                <w:szCs w:val="24"/>
              </w:rPr>
              <w:t>Dollars (USD)</w:t>
            </w:r>
          </w:p>
        </w:tc>
      </w:tr>
      <w:tr w:rsidR="00C474C7">
        <w:trPr>
          <w:trHeight w:val="718"/>
        </w:trPr>
        <w:tc>
          <w:tcPr>
            <w:tcW w:w="4508" w:type="dxa"/>
          </w:tcPr>
          <w:p w:rsidR="00C474C7" w:rsidRDefault="00D839C7">
            <w:pPr>
              <w:rPr>
                <w:rFonts w:ascii="Arial" w:eastAsia="Arial" w:hAnsi="Arial" w:cs="Arial"/>
                <w:b/>
                <w:sz w:val="24"/>
                <w:szCs w:val="24"/>
                <w:highlight w:val="yellow"/>
              </w:rPr>
            </w:pPr>
            <w:r>
              <w:rPr>
                <w:rFonts w:ascii="Arial" w:eastAsia="Arial" w:hAnsi="Arial" w:cs="Arial"/>
                <w:b/>
                <w:sz w:val="24"/>
                <w:szCs w:val="24"/>
                <w:highlight w:val="yellow"/>
              </w:rPr>
              <w:t>Y/N</w:t>
            </w:r>
          </w:p>
        </w:tc>
        <w:tc>
          <w:tcPr>
            <w:tcW w:w="4508" w:type="dxa"/>
          </w:tcPr>
          <w:p w:rsidR="00C474C7" w:rsidRDefault="00D839C7">
            <w:pPr>
              <w:rPr>
                <w:rFonts w:ascii="Arial" w:eastAsia="Arial" w:hAnsi="Arial" w:cs="Arial"/>
                <w:b/>
                <w:sz w:val="24"/>
                <w:szCs w:val="24"/>
                <w:highlight w:val="yellow"/>
              </w:rPr>
            </w:pPr>
            <w:r>
              <w:rPr>
                <w:rFonts w:ascii="Arial" w:eastAsia="Arial" w:hAnsi="Arial" w:cs="Arial"/>
                <w:b/>
                <w:sz w:val="24"/>
                <w:szCs w:val="24"/>
                <w:highlight w:val="yellow"/>
              </w:rPr>
              <w:t>Y/N</w:t>
            </w:r>
          </w:p>
        </w:tc>
      </w:tr>
    </w:tbl>
    <w:p w:rsidR="00C474C7" w:rsidRDefault="00C474C7">
      <w:pPr>
        <w:rPr>
          <w:rFonts w:ascii="Arial" w:eastAsia="Arial" w:hAnsi="Arial" w:cs="Arial"/>
          <w:b/>
          <w:sz w:val="24"/>
          <w:szCs w:val="24"/>
        </w:rPr>
      </w:pPr>
    </w:p>
    <w:sectPr w:rsidR="00C474C7">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9C7" w:rsidRDefault="00D839C7">
      <w:pPr>
        <w:spacing w:after="0" w:line="240" w:lineRule="auto"/>
      </w:pPr>
      <w:r>
        <w:separator/>
      </w:r>
    </w:p>
  </w:endnote>
  <w:endnote w:type="continuationSeparator" w:id="0">
    <w:p w:rsidR="00D839C7" w:rsidRDefault="00D83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4C7" w:rsidRDefault="00D839C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RM6183</w:t>
    </w:r>
    <w:r>
      <w:rPr>
        <w:rFonts w:ascii="Arial" w:eastAsia="Arial" w:hAnsi="Arial" w:cs="Arial"/>
        <w:sz w:val="20"/>
        <w:szCs w:val="20"/>
      </w:rPr>
      <w:tab/>
      <w:t xml:space="preserve">                                           </w:t>
    </w:r>
  </w:p>
  <w:p w:rsidR="00C474C7" w:rsidRDefault="00D839C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324FF">
      <w:rPr>
        <w:rFonts w:ascii="Arial" w:eastAsia="Arial" w:hAnsi="Arial" w:cs="Arial"/>
        <w:color w:val="000000"/>
        <w:sz w:val="20"/>
        <w:szCs w:val="20"/>
      </w:rPr>
      <w:fldChar w:fldCharType="separate"/>
    </w:r>
    <w:r w:rsidR="00C324FF">
      <w:rPr>
        <w:rFonts w:ascii="Arial" w:eastAsia="Arial" w:hAnsi="Arial" w:cs="Arial"/>
        <w:noProof/>
        <w:color w:val="000000"/>
        <w:sz w:val="20"/>
        <w:szCs w:val="20"/>
      </w:rPr>
      <w:t>6</w:t>
    </w:r>
    <w:r>
      <w:rPr>
        <w:rFonts w:ascii="Arial" w:eastAsia="Arial" w:hAnsi="Arial" w:cs="Arial"/>
        <w:color w:val="000000"/>
        <w:sz w:val="20"/>
        <w:szCs w:val="20"/>
      </w:rPr>
      <w:fldChar w:fldCharType="end"/>
    </w:r>
  </w:p>
  <w:p w:rsidR="00C474C7" w:rsidRDefault="00D839C7">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4C7" w:rsidRDefault="00D839C7">
    <w:pPr>
      <w:tabs>
        <w:tab w:val="center" w:pos="4513"/>
        <w:tab w:val="right" w:pos="9026"/>
      </w:tabs>
      <w:spacing w:after="0"/>
    </w:pPr>
    <w:r>
      <w:t>Framework Ref: RM</w:t>
    </w:r>
    <w:r>
      <w:tab/>
    </w:r>
    <w:r>
      <w:t xml:space="preserve">                                           </w:t>
    </w:r>
  </w:p>
  <w:p w:rsidR="00C474C7" w:rsidRDefault="00D839C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C474C7" w:rsidRDefault="00D839C7">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9C7" w:rsidRDefault="00D839C7">
      <w:pPr>
        <w:spacing w:after="0" w:line="240" w:lineRule="auto"/>
      </w:pPr>
      <w:r>
        <w:separator/>
      </w:r>
    </w:p>
  </w:footnote>
  <w:footnote w:type="continuationSeparator" w:id="0">
    <w:p w:rsidR="00D839C7" w:rsidRDefault="00D839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4C7" w:rsidRDefault="00D839C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C474C7" w:rsidRDefault="00D839C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4C7" w:rsidRDefault="00D839C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C474C7" w:rsidRDefault="00D839C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870404"/>
    <w:multiLevelType w:val="multilevel"/>
    <w:tmpl w:val="5EE27E90"/>
    <w:lvl w:ilvl="0">
      <w:start w:val="1"/>
      <w:numFmt w:val="decimal"/>
      <w:pStyle w:val="GPSL1CLAUSEHEADING"/>
      <w:lvlText w:val="%1."/>
      <w:lvlJc w:val="left"/>
      <w:pPr>
        <w:ind w:left="644" w:hanging="359"/>
      </w:pPr>
      <w:rPr>
        <w:rFonts w:ascii="Arial" w:eastAsia="Arial" w:hAnsi="Arial" w:cs="Arial"/>
        <w:smallCaps w:val="0"/>
        <w:strike w:val="0"/>
        <w:color w:val="000000"/>
        <w:sz w:val="24"/>
        <w:szCs w:val="24"/>
        <w:u w:val="none"/>
        <w:vertAlign w:val="baseline"/>
      </w:rPr>
    </w:lvl>
    <w:lvl w:ilvl="1">
      <w:start w:val="1"/>
      <w:numFmt w:val="decimal"/>
      <w:pStyle w:val="GPSL2numberedclause"/>
      <w:lvlText w:val="%1.%2"/>
      <w:lvlJc w:val="left"/>
      <w:pPr>
        <w:ind w:left="643"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855"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6846EDA"/>
    <w:multiLevelType w:val="multilevel"/>
    <w:tmpl w:val="CED693D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4C7"/>
    <w:rsid w:val="00C324FF"/>
    <w:rsid w:val="00C474C7"/>
    <w:rsid w:val="00D839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58915"/>
  <w15:docId w15:val="{D819CC08-CD1F-4288-A773-CB55C4D21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644"/>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GZc07QlarsEu8OXDMWr7VfAfnA==">AMUW2mXsilyal6ZmlBhRgHZw3J2cbfdGlhM04OyYR8VZMJuRKby87JSPxypn/V2zhRw4DBM7BrDOaM5ezJdEsZelCUGdCivhRmH+OidRpwXb7zlZVUexaxf5NjIqC3ejk/UMAzxkssYDsbx36931IiPwt/jOkultPayaR32AWtrDyoZbBuAo3C3YouY3FkIGhIRWQa7zNavifYTGkCJ/TKbMUwHU7fmXFuEmDmckAJmm2XYBnLH/bv4=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1370</Words>
  <Characters>7810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Alexandra Molyneux</cp:lastModifiedBy>
  <cp:revision>2</cp:revision>
  <dcterms:created xsi:type="dcterms:W3CDTF">2021-01-07T14:53:00Z</dcterms:created>
  <dcterms:modified xsi:type="dcterms:W3CDTF">2021-01-07T14:53:00Z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